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407" w:rsidRDefault="00D40407" w:rsidP="00D40407">
      <w:pPr>
        <w:spacing w:line="480" w:lineRule="auto"/>
        <w:jc w:val="center"/>
        <w:rPr>
          <w:rFonts w:ascii="Times New Roman" w:hAnsi="Times New Roman" w:cs="Times New Roman"/>
          <w:sz w:val="24"/>
          <w:szCs w:val="24"/>
        </w:rPr>
      </w:pPr>
    </w:p>
    <w:p w:rsidR="00D40407" w:rsidRDefault="00D40407" w:rsidP="00D40407">
      <w:pPr>
        <w:spacing w:line="480" w:lineRule="auto"/>
        <w:jc w:val="center"/>
        <w:rPr>
          <w:rFonts w:ascii="Times New Roman" w:hAnsi="Times New Roman" w:cs="Times New Roman"/>
          <w:sz w:val="24"/>
          <w:szCs w:val="24"/>
        </w:rPr>
      </w:pPr>
    </w:p>
    <w:p w:rsidR="00D40407" w:rsidRDefault="00D40407" w:rsidP="00D40407">
      <w:pPr>
        <w:spacing w:line="480" w:lineRule="auto"/>
        <w:jc w:val="center"/>
        <w:rPr>
          <w:rFonts w:ascii="Times New Roman" w:hAnsi="Times New Roman" w:cs="Times New Roman"/>
          <w:sz w:val="24"/>
          <w:szCs w:val="24"/>
        </w:rPr>
      </w:pPr>
    </w:p>
    <w:p w:rsidR="00D40407" w:rsidRDefault="00D40407" w:rsidP="00D40407">
      <w:pPr>
        <w:spacing w:line="480" w:lineRule="auto"/>
        <w:jc w:val="center"/>
        <w:rPr>
          <w:rFonts w:ascii="Times New Roman" w:hAnsi="Times New Roman" w:cs="Times New Roman"/>
          <w:sz w:val="24"/>
          <w:szCs w:val="24"/>
        </w:rPr>
      </w:pPr>
    </w:p>
    <w:p w:rsidR="00D40407" w:rsidRDefault="00D40407" w:rsidP="00D40407">
      <w:pPr>
        <w:spacing w:line="480" w:lineRule="auto"/>
        <w:jc w:val="center"/>
        <w:rPr>
          <w:rFonts w:ascii="Times New Roman" w:hAnsi="Times New Roman" w:cs="Times New Roman"/>
          <w:sz w:val="24"/>
          <w:szCs w:val="24"/>
        </w:rPr>
      </w:pPr>
    </w:p>
    <w:p w:rsidR="00D40407" w:rsidRDefault="00D40407" w:rsidP="00D40407">
      <w:pPr>
        <w:spacing w:line="480" w:lineRule="auto"/>
        <w:jc w:val="center"/>
        <w:rPr>
          <w:rFonts w:ascii="Times New Roman" w:hAnsi="Times New Roman" w:cs="Times New Roman"/>
          <w:sz w:val="24"/>
          <w:szCs w:val="24"/>
        </w:rPr>
      </w:pPr>
    </w:p>
    <w:p w:rsidR="00D40407" w:rsidRDefault="00D40407" w:rsidP="00D40407">
      <w:pPr>
        <w:spacing w:line="480" w:lineRule="auto"/>
        <w:jc w:val="center"/>
        <w:rPr>
          <w:rFonts w:ascii="Times New Roman" w:hAnsi="Times New Roman" w:cs="Times New Roman"/>
          <w:sz w:val="24"/>
          <w:szCs w:val="24"/>
        </w:rPr>
      </w:pPr>
    </w:p>
    <w:p w:rsidR="00D40407" w:rsidRDefault="00D40407" w:rsidP="00D40407">
      <w:pPr>
        <w:spacing w:line="480" w:lineRule="auto"/>
        <w:jc w:val="center"/>
        <w:rPr>
          <w:rFonts w:ascii="Times New Roman" w:hAnsi="Times New Roman" w:cs="Times New Roman"/>
          <w:sz w:val="24"/>
          <w:szCs w:val="24"/>
        </w:rPr>
      </w:pPr>
    </w:p>
    <w:p w:rsidR="00D40407" w:rsidRDefault="00D40407" w:rsidP="00D40407">
      <w:pPr>
        <w:spacing w:line="480" w:lineRule="auto"/>
        <w:jc w:val="center"/>
        <w:rPr>
          <w:rFonts w:ascii="Times New Roman" w:hAnsi="Times New Roman" w:cs="Times New Roman"/>
          <w:sz w:val="24"/>
          <w:szCs w:val="24"/>
        </w:rPr>
      </w:pPr>
    </w:p>
    <w:p w:rsidR="0080412D" w:rsidRDefault="00D40407" w:rsidP="00D40407">
      <w:pPr>
        <w:spacing w:line="480" w:lineRule="auto"/>
        <w:jc w:val="center"/>
        <w:rPr>
          <w:rFonts w:ascii="Times New Roman" w:hAnsi="Times New Roman" w:cs="Times New Roman"/>
          <w:sz w:val="24"/>
          <w:szCs w:val="24"/>
        </w:rPr>
      </w:pPr>
      <w:r>
        <w:rPr>
          <w:rFonts w:ascii="Times New Roman" w:hAnsi="Times New Roman" w:cs="Times New Roman"/>
          <w:sz w:val="24"/>
          <w:szCs w:val="24"/>
        </w:rPr>
        <w:t>Carpenter V. United States</w:t>
      </w:r>
    </w:p>
    <w:p w:rsidR="00D40407" w:rsidRDefault="00D40407" w:rsidP="00D4040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40407" w:rsidRDefault="00D40407" w:rsidP="00D404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40407" w:rsidRPr="00D40407" w:rsidRDefault="00D40407" w:rsidP="00D40407">
      <w:pPr>
        <w:rPr>
          <w:rFonts w:ascii="Times New Roman" w:hAnsi="Times New Roman" w:cs="Times New Roman"/>
          <w:sz w:val="24"/>
          <w:szCs w:val="24"/>
        </w:rPr>
      </w:pPr>
    </w:p>
    <w:p w:rsidR="00D40407" w:rsidRPr="00D40407" w:rsidRDefault="00D40407" w:rsidP="00D40407">
      <w:pPr>
        <w:rPr>
          <w:rFonts w:ascii="Times New Roman" w:hAnsi="Times New Roman" w:cs="Times New Roman"/>
          <w:sz w:val="24"/>
          <w:szCs w:val="24"/>
        </w:rPr>
      </w:pPr>
    </w:p>
    <w:p w:rsidR="00D40407" w:rsidRPr="00D40407" w:rsidRDefault="00D40407" w:rsidP="00D40407">
      <w:pPr>
        <w:rPr>
          <w:rFonts w:ascii="Times New Roman" w:hAnsi="Times New Roman" w:cs="Times New Roman"/>
          <w:sz w:val="24"/>
          <w:szCs w:val="24"/>
        </w:rPr>
      </w:pPr>
    </w:p>
    <w:p w:rsidR="00D40407" w:rsidRPr="00D40407" w:rsidRDefault="00D40407" w:rsidP="00D40407">
      <w:pPr>
        <w:rPr>
          <w:rFonts w:ascii="Times New Roman" w:hAnsi="Times New Roman" w:cs="Times New Roman"/>
          <w:sz w:val="24"/>
          <w:szCs w:val="24"/>
        </w:rPr>
      </w:pPr>
    </w:p>
    <w:p w:rsidR="00D40407" w:rsidRDefault="00D40407" w:rsidP="00D40407">
      <w:pPr>
        <w:rPr>
          <w:rFonts w:ascii="Times New Roman" w:hAnsi="Times New Roman" w:cs="Times New Roman"/>
          <w:sz w:val="24"/>
          <w:szCs w:val="24"/>
        </w:rPr>
      </w:pPr>
    </w:p>
    <w:p w:rsidR="00D40407" w:rsidRDefault="00D40407" w:rsidP="00D40407">
      <w:pPr>
        <w:rPr>
          <w:rFonts w:ascii="Times New Roman" w:hAnsi="Times New Roman" w:cs="Times New Roman"/>
          <w:sz w:val="24"/>
          <w:szCs w:val="24"/>
        </w:rPr>
      </w:pPr>
    </w:p>
    <w:p w:rsidR="00D40407" w:rsidRDefault="00D40407" w:rsidP="00D40407">
      <w:pPr>
        <w:rPr>
          <w:rFonts w:ascii="Times New Roman" w:hAnsi="Times New Roman" w:cs="Times New Roman"/>
          <w:sz w:val="24"/>
          <w:szCs w:val="24"/>
        </w:rPr>
      </w:pPr>
    </w:p>
    <w:p w:rsidR="00D40407" w:rsidRDefault="00D40407" w:rsidP="00D40407">
      <w:pPr>
        <w:jc w:val="center"/>
        <w:rPr>
          <w:rFonts w:ascii="Times New Roman" w:hAnsi="Times New Roman" w:cs="Times New Roman"/>
          <w:sz w:val="24"/>
          <w:szCs w:val="24"/>
        </w:rPr>
      </w:pPr>
      <w:r>
        <w:rPr>
          <w:rFonts w:ascii="Times New Roman" w:hAnsi="Times New Roman" w:cs="Times New Roman"/>
          <w:sz w:val="24"/>
          <w:szCs w:val="24"/>
        </w:rPr>
        <w:lastRenderedPageBreak/>
        <w:t>Carpenter V. United States</w:t>
      </w:r>
    </w:p>
    <w:p w:rsidR="00A1123B" w:rsidRPr="00A1123B" w:rsidRDefault="008D4504" w:rsidP="00A1123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A1123B" w:rsidRPr="00A1123B">
        <w:rPr>
          <w:rFonts w:ascii="Times New Roman" w:hAnsi="Times New Roman" w:cs="Times New Roman"/>
          <w:color w:val="1D1D1D"/>
          <w:sz w:val="24"/>
          <w:szCs w:val="24"/>
          <w:shd w:val="clear" w:color="auto" w:fill="FFFFFF"/>
        </w:rPr>
        <w:t>The Carpenter v. United States Case was riddled with ethical issues that infringe on the privacy and the security of individuals. In light with the digital era, the government needs to take proactive measures that aim at protecting the rights of its citizens. It is unsurprising that the court ruled against the United States (US) government reiterating that it needed a warrant before obtaining information on phone locations. The ruling was a significant milestone in the pursuit of digital privacy. The Supreme Court’s decision reflects on the social contract theory that stipulates that individuals and governments are tied to agreements that regulate their activities. In this regard, the paper will examine ethical issues related to the case based on the social contract theory.</w:t>
      </w:r>
    </w:p>
    <w:p w:rsidR="00A1123B" w:rsidRPr="00A1123B" w:rsidRDefault="00A1123B" w:rsidP="00A1123B">
      <w:pPr>
        <w:spacing w:line="480" w:lineRule="auto"/>
        <w:rPr>
          <w:rFonts w:ascii="Times New Roman" w:hAnsi="Times New Roman" w:cs="Times New Roman"/>
          <w:color w:val="1D1D1D"/>
          <w:sz w:val="24"/>
          <w:szCs w:val="24"/>
          <w:shd w:val="clear" w:color="auto" w:fill="FFFFFF"/>
        </w:rPr>
      </w:pPr>
      <w:r w:rsidRPr="00A1123B">
        <w:rPr>
          <w:rFonts w:ascii="Times New Roman" w:hAnsi="Times New Roman" w:cs="Times New Roman"/>
          <w:color w:val="1D1D1D"/>
          <w:sz w:val="24"/>
          <w:szCs w:val="24"/>
          <w:shd w:val="clear" w:color="auto" w:fill="FFFFFF"/>
        </w:rPr>
        <w:t xml:space="preserve">           A society without rules is bound to be chaotic; therefore, alluding to the social contract theory, the government is supposed to reinforce the law. However, it is unethical for the government to enforce rules at the expense of the rights of the ruled. The government violated Timothy Carpenter’s rights protected under the Fourth Amendment when they obtained the records of his records without a warrant. The Amendment aims at safeguarding the confidentiality of individuals from arbitrary intrusions from government officers (Epic.org, n. d). In general, the law is crucial to protecting persons against absolute power. Even though Carpenter was a suspect, the government needed not to use advanced surveillance tools to monitor sensitive information such as location. The government officials required a warrant to examine the contents of his mobile phone as Judge Roberts stated. The usage of more significant forms of </w:t>
      </w:r>
      <w:proofErr w:type="spellStart"/>
      <w:r w:rsidRPr="00A1123B">
        <w:rPr>
          <w:rFonts w:ascii="Times New Roman" w:hAnsi="Times New Roman" w:cs="Times New Roman"/>
          <w:color w:val="1D1D1D"/>
          <w:sz w:val="24"/>
          <w:szCs w:val="24"/>
          <w:shd w:val="clear" w:color="auto" w:fill="FFFFFF"/>
        </w:rPr>
        <w:t>telemonitoring</w:t>
      </w:r>
      <w:proofErr w:type="spellEnd"/>
      <w:r w:rsidRPr="00A1123B">
        <w:rPr>
          <w:rFonts w:ascii="Times New Roman" w:hAnsi="Times New Roman" w:cs="Times New Roman"/>
          <w:color w:val="1D1D1D"/>
          <w:sz w:val="24"/>
          <w:szCs w:val="24"/>
          <w:shd w:val="clear" w:color="auto" w:fill="FFFFFF"/>
        </w:rPr>
        <w:t xml:space="preserve"> that entails the placement of GPS devices on suspects’ vehicles was an absolute infringement of their rights. The FBI was able to monitor the movements of the suspects without their knowledge. </w:t>
      </w:r>
    </w:p>
    <w:p w:rsidR="00A1123B" w:rsidRPr="00A1123B" w:rsidRDefault="00A1123B" w:rsidP="00A1123B">
      <w:pPr>
        <w:spacing w:line="480" w:lineRule="auto"/>
        <w:rPr>
          <w:rFonts w:ascii="Times New Roman" w:hAnsi="Times New Roman" w:cs="Times New Roman"/>
          <w:color w:val="1D1D1D"/>
          <w:sz w:val="24"/>
          <w:szCs w:val="24"/>
          <w:shd w:val="clear" w:color="auto" w:fill="FFFFFF"/>
        </w:rPr>
      </w:pPr>
      <w:r w:rsidRPr="00A1123B">
        <w:rPr>
          <w:rFonts w:ascii="Times New Roman" w:hAnsi="Times New Roman" w:cs="Times New Roman"/>
          <w:color w:val="1D1D1D"/>
          <w:sz w:val="24"/>
          <w:szCs w:val="24"/>
          <w:shd w:val="clear" w:color="auto" w:fill="FFFFFF"/>
        </w:rPr>
        <w:lastRenderedPageBreak/>
        <w:t>           Also, the Amendment draws a thin line between individuals’ information that they keep private and what they choose to share. Even though persons have no legitimate expectation that security is guaranteed for information that they share with third parties, the government ought to be the gatekeepers of private data (</w:t>
      </w:r>
      <w:proofErr w:type="spellStart"/>
      <w:r w:rsidRPr="00A1123B">
        <w:rPr>
          <w:rFonts w:ascii="Times New Roman" w:hAnsi="Times New Roman" w:cs="Times New Roman"/>
          <w:color w:val="1D1D1D"/>
          <w:sz w:val="24"/>
          <w:szCs w:val="24"/>
          <w:shd w:val="clear" w:color="auto" w:fill="FFFFFF"/>
        </w:rPr>
        <w:t>Matsakis</w:t>
      </w:r>
      <w:proofErr w:type="spellEnd"/>
      <w:r w:rsidRPr="00A1123B">
        <w:rPr>
          <w:rFonts w:ascii="Times New Roman" w:hAnsi="Times New Roman" w:cs="Times New Roman"/>
          <w:color w:val="1D1D1D"/>
          <w:sz w:val="24"/>
          <w:szCs w:val="24"/>
          <w:shd w:val="clear" w:color="auto" w:fill="FFFFFF"/>
        </w:rPr>
        <w:t>, 2018). It is unethical that the law expects persons to speculate that third parties such as police officers will access their data voluntarily in cases of surveillance. Tracking the suspects’ cellphones presented wider privacy concerns since it involves instructing the third party to hand over information to be used in the investigation. It is evident that the government is misusing its position of power to violate the rights of the suspects. The government is required to provide particular information showing that they have reasonable grounds to access a person’s mobile records. The order for disclosure disregarded the requirement and highlighted that the police officers were only interested in incriminating the suspects.</w:t>
      </w:r>
    </w:p>
    <w:p w:rsidR="00A1123B" w:rsidRDefault="00A1123B" w:rsidP="00A1123B">
      <w:pPr>
        <w:spacing w:line="480" w:lineRule="auto"/>
        <w:rPr>
          <w:rFonts w:ascii="Times New Roman" w:hAnsi="Times New Roman" w:cs="Times New Roman"/>
          <w:color w:val="1D1D1D"/>
          <w:sz w:val="24"/>
          <w:szCs w:val="24"/>
          <w:shd w:val="clear" w:color="auto" w:fill="FFFFFF"/>
        </w:rPr>
      </w:pPr>
      <w:r w:rsidRPr="00A1123B">
        <w:rPr>
          <w:rFonts w:ascii="Times New Roman" w:hAnsi="Times New Roman" w:cs="Times New Roman"/>
          <w:color w:val="1D1D1D"/>
          <w:sz w:val="24"/>
          <w:szCs w:val="24"/>
          <w:shd w:val="clear" w:color="auto" w:fill="FFFFFF"/>
        </w:rPr>
        <w:t>           Moreover, the Fourth Amendment is a type of social contract that protects citizens against unreasonable searches. There must be pre-existing conditions such as probable cause that ascertain whether the alleged crimes are committed. In this case, police officers arrested four men that were connected with the T-Mobile and RadioShack stores in Ohio and Michigan (Global Freedom of Expression, 2018). The law enforcement officers used the confessions of these men to monitor the locations of their accomplices. It was unethical for the officers to defy the stipulation of “probable cause” when investigating the crimes since they ended up infringing on the privacy of the suspects.</w:t>
      </w:r>
      <w:bookmarkStart w:id="0" w:name="_GoBack"/>
      <w:bookmarkEnd w:id="0"/>
    </w:p>
    <w:p w:rsidR="00A1123B" w:rsidRDefault="00A1123B" w:rsidP="00D873D9">
      <w:pPr>
        <w:spacing w:line="480" w:lineRule="auto"/>
        <w:rPr>
          <w:rFonts w:ascii="Times New Roman" w:hAnsi="Times New Roman" w:cs="Times New Roman"/>
          <w:color w:val="1D1D1D"/>
          <w:sz w:val="24"/>
          <w:szCs w:val="24"/>
          <w:shd w:val="clear" w:color="auto" w:fill="FFFFFF"/>
        </w:rPr>
      </w:pPr>
    </w:p>
    <w:p w:rsidR="00A1123B" w:rsidRDefault="00A1123B" w:rsidP="00D873D9">
      <w:pPr>
        <w:spacing w:line="480" w:lineRule="auto"/>
        <w:rPr>
          <w:rFonts w:ascii="Times New Roman" w:hAnsi="Times New Roman" w:cs="Times New Roman"/>
          <w:color w:val="1D1D1D"/>
          <w:sz w:val="24"/>
          <w:szCs w:val="24"/>
          <w:shd w:val="clear" w:color="auto" w:fill="FFFFFF"/>
        </w:rPr>
      </w:pPr>
    </w:p>
    <w:p w:rsidR="00CE6EAD" w:rsidRDefault="00A1123B" w:rsidP="00A1123B">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A1123B" w:rsidRDefault="00A1123B" w:rsidP="00A1123B">
      <w:pPr>
        <w:spacing w:line="480" w:lineRule="auto"/>
        <w:rPr>
          <w:rFonts w:ascii="Times New Roman" w:hAnsi="Times New Roman" w:cs="Times New Roman"/>
          <w:color w:val="1D1D1D"/>
          <w:sz w:val="24"/>
          <w:szCs w:val="24"/>
          <w:shd w:val="clear" w:color="auto" w:fill="FFFFFF"/>
        </w:rPr>
      </w:pPr>
      <w:proofErr w:type="gramStart"/>
      <w:r>
        <w:rPr>
          <w:rFonts w:ascii="Times New Roman" w:hAnsi="Times New Roman" w:cs="Times New Roman"/>
          <w:color w:val="1D1D1D"/>
          <w:sz w:val="24"/>
          <w:szCs w:val="24"/>
          <w:shd w:val="clear" w:color="auto" w:fill="FFFFFF"/>
        </w:rPr>
        <w:t>Epic.org. (n. d).</w:t>
      </w:r>
      <w:proofErr w:type="gramEnd"/>
      <w:r>
        <w:rPr>
          <w:rFonts w:ascii="Times New Roman" w:hAnsi="Times New Roman" w:cs="Times New Roman"/>
          <w:color w:val="1D1D1D"/>
          <w:sz w:val="24"/>
          <w:szCs w:val="24"/>
          <w:shd w:val="clear" w:color="auto" w:fill="FFFFFF"/>
        </w:rPr>
        <w:t xml:space="preserve"> Carpenter v. United States. Retrieved from</w:t>
      </w:r>
    </w:p>
    <w:p w:rsidR="00A1123B" w:rsidRDefault="00A1123B" w:rsidP="00A1123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hyperlink r:id="rId7" w:history="1">
        <w:r w:rsidRPr="00A1123B">
          <w:rPr>
            <w:rStyle w:val="Hyperlink"/>
            <w:rFonts w:ascii="Times New Roman" w:hAnsi="Times New Roman" w:cs="Times New Roman"/>
            <w:sz w:val="24"/>
            <w:szCs w:val="24"/>
            <w:shd w:val="clear" w:color="auto" w:fill="FFFFFF"/>
          </w:rPr>
          <w:t>https://epic.org/amicus/location/carpenter/</w:t>
        </w:r>
      </w:hyperlink>
    </w:p>
    <w:p w:rsidR="00A1123B" w:rsidRDefault="00A1123B" w:rsidP="00A1123B">
      <w:pPr>
        <w:spacing w:line="480" w:lineRule="auto"/>
        <w:rPr>
          <w:rFonts w:ascii="Times New Roman" w:hAnsi="Times New Roman" w:cs="Times New Roman"/>
          <w:color w:val="1D1D1D"/>
          <w:sz w:val="24"/>
          <w:szCs w:val="24"/>
          <w:shd w:val="clear" w:color="auto" w:fill="FFFFFF"/>
        </w:rPr>
      </w:pPr>
      <w:proofErr w:type="gramStart"/>
      <w:r>
        <w:rPr>
          <w:rFonts w:ascii="Times New Roman" w:hAnsi="Times New Roman" w:cs="Times New Roman"/>
          <w:color w:val="1D1D1D"/>
          <w:sz w:val="24"/>
          <w:szCs w:val="24"/>
          <w:shd w:val="clear" w:color="auto" w:fill="FFFFFF"/>
        </w:rPr>
        <w:t>Global Freedom of Expression.</w:t>
      </w:r>
      <w:proofErr w:type="gramEnd"/>
      <w:r>
        <w:rPr>
          <w:rFonts w:ascii="Times New Roman" w:hAnsi="Times New Roman" w:cs="Times New Roman"/>
          <w:color w:val="1D1D1D"/>
          <w:sz w:val="24"/>
          <w:szCs w:val="24"/>
          <w:shd w:val="clear" w:color="auto" w:fill="FFFFFF"/>
        </w:rPr>
        <w:t xml:space="preserve"> Carpenter v. United States. </w:t>
      </w:r>
      <w:proofErr w:type="gramStart"/>
      <w:r>
        <w:rPr>
          <w:rFonts w:ascii="Times New Roman" w:hAnsi="Times New Roman" w:cs="Times New Roman"/>
          <w:color w:val="1D1D1D"/>
          <w:sz w:val="24"/>
          <w:szCs w:val="24"/>
          <w:shd w:val="clear" w:color="auto" w:fill="FFFFFF"/>
        </w:rPr>
        <w:t>Columbia University.</w:t>
      </w:r>
      <w:proofErr w:type="gramEnd"/>
      <w:r>
        <w:rPr>
          <w:rFonts w:ascii="Times New Roman" w:hAnsi="Times New Roman" w:cs="Times New Roman"/>
          <w:color w:val="1D1D1D"/>
          <w:sz w:val="24"/>
          <w:szCs w:val="24"/>
          <w:shd w:val="clear" w:color="auto" w:fill="FFFFFF"/>
        </w:rPr>
        <w:t xml:space="preserve"> Retrieved from</w:t>
      </w:r>
    </w:p>
    <w:p w:rsidR="00A1123B" w:rsidRDefault="00A1123B" w:rsidP="00A1123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hyperlink r:id="rId8" w:history="1">
        <w:r w:rsidRPr="00A1123B">
          <w:rPr>
            <w:rStyle w:val="Hyperlink"/>
            <w:rFonts w:ascii="Times New Roman" w:hAnsi="Times New Roman" w:cs="Times New Roman"/>
            <w:sz w:val="24"/>
            <w:szCs w:val="24"/>
            <w:shd w:val="clear" w:color="auto" w:fill="FFFFFF"/>
          </w:rPr>
          <w:t>https://globalfreedomofexpression.columbia.edu/cases/carpenter-v-united-states/</w:t>
        </w:r>
      </w:hyperlink>
    </w:p>
    <w:p w:rsidR="00A1123B" w:rsidRDefault="00A1123B" w:rsidP="00A1123B">
      <w:pPr>
        <w:spacing w:line="480" w:lineRule="auto"/>
        <w:rPr>
          <w:rFonts w:ascii="Times New Roman" w:hAnsi="Times New Roman" w:cs="Times New Roman"/>
          <w:color w:val="1D1D1D"/>
          <w:sz w:val="24"/>
          <w:szCs w:val="24"/>
          <w:shd w:val="clear" w:color="auto" w:fill="FFFFFF"/>
        </w:rPr>
      </w:pPr>
      <w:proofErr w:type="spellStart"/>
      <w:r>
        <w:rPr>
          <w:rFonts w:ascii="Times New Roman" w:hAnsi="Times New Roman" w:cs="Times New Roman"/>
          <w:color w:val="1D1D1D"/>
          <w:sz w:val="24"/>
          <w:szCs w:val="24"/>
          <w:shd w:val="clear" w:color="auto" w:fill="FFFFFF"/>
        </w:rPr>
        <w:t>Matsakis</w:t>
      </w:r>
      <w:proofErr w:type="spellEnd"/>
      <w:r>
        <w:rPr>
          <w:rFonts w:ascii="Times New Roman" w:hAnsi="Times New Roman" w:cs="Times New Roman"/>
          <w:color w:val="1D1D1D"/>
          <w:sz w:val="24"/>
          <w:szCs w:val="24"/>
          <w:shd w:val="clear" w:color="auto" w:fill="FFFFFF"/>
        </w:rPr>
        <w:t xml:space="preserve">, L. (2018). The Supreme Court just greatly strengthened digital privacy. </w:t>
      </w:r>
      <w:proofErr w:type="gramStart"/>
      <w:r>
        <w:rPr>
          <w:rFonts w:ascii="Times New Roman" w:hAnsi="Times New Roman" w:cs="Times New Roman"/>
          <w:color w:val="1D1D1D"/>
          <w:sz w:val="24"/>
          <w:szCs w:val="24"/>
          <w:shd w:val="clear" w:color="auto" w:fill="FFFFFF"/>
        </w:rPr>
        <w:t>Wired.</w:t>
      </w:r>
      <w:proofErr w:type="gramEnd"/>
      <w:r>
        <w:rPr>
          <w:rFonts w:ascii="Times New Roman" w:hAnsi="Times New Roman" w:cs="Times New Roman"/>
          <w:color w:val="1D1D1D"/>
          <w:sz w:val="24"/>
          <w:szCs w:val="24"/>
          <w:shd w:val="clear" w:color="auto" w:fill="FFFFFF"/>
        </w:rPr>
        <w:t xml:space="preserve"> </w:t>
      </w:r>
    </w:p>
    <w:p w:rsidR="00A1123B" w:rsidRDefault="00A1123B" w:rsidP="00A1123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Retrieved from</w:t>
      </w:r>
    </w:p>
    <w:p w:rsidR="00A1123B" w:rsidRDefault="00A1123B" w:rsidP="00A1123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hyperlink r:id="rId9" w:history="1">
        <w:r w:rsidRPr="00A1123B">
          <w:rPr>
            <w:rStyle w:val="Hyperlink"/>
            <w:rFonts w:ascii="Times New Roman" w:hAnsi="Times New Roman" w:cs="Times New Roman"/>
            <w:sz w:val="24"/>
            <w:szCs w:val="24"/>
            <w:shd w:val="clear" w:color="auto" w:fill="FFFFFF"/>
          </w:rPr>
          <w:t>https://www.wired.com/story/carpenter-v-united-states-supreme-court-digital-privacy/</w:t>
        </w:r>
      </w:hyperlink>
    </w:p>
    <w:p w:rsidR="007E02C9" w:rsidRPr="00D873D9" w:rsidRDefault="007E02C9" w:rsidP="00D873D9">
      <w:pPr>
        <w:spacing w:line="480" w:lineRule="auto"/>
        <w:rPr>
          <w:rFonts w:ascii="Times New Roman" w:hAnsi="Times New Roman" w:cs="Times New Roman"/>
          <w:sz w:val="24"/>
          <w:szCs w:val="24"/>
        </w:rPr>
      </w:pPr>
    </w:p>
    <w:sectPr w:rsidR="007E02C9" w:rsidRPr="00D873D9" w:rsidSect="00D4040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F62" w:rsidRDefault="00947F62" w:rsidP="00D40407">
      <w:pPr>
        <w:spacing w:after="0" w:line="240" w:lineRule="auto"/>
      </w:pPr>
      <w:r>
        <w:separator/>
      </w:r>
    </w:p>
  </w:endnote>
  <w:endnote w:type="continuationSeparator" w:id="0">
    <w:p w:rsidR="00947F62" w:rsidRDefault="00947F62" w:rsidP="00D40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F62" w:rsidRDefault="00947F62" w:rsidP="00D40407">
      <w:pPr>
        <w:spacing w:after="0" w:line="240" w:lineRule="auto"/>
      </w:pPr>
      <w:r>
        <w:separator/>
      </w:r>
    </w:p>
  </w:footnote>
  <w:footnote w:type="continuationSeparator" w:id="0">
    <w:p w:rsidR="00947F62" w:rsidRDefault="00947F62" w:rsidP="00D404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407" w:rsidRPr="00D40407" w:rsidRDefault="00D40407" w:rsidP="00D40407">
    <w:pPr>
      <w:pStyle w:val="Header"/>
      <w:spacing w:line="480" w:lineRule="auto"/>
      <w:rPr>
        <w:rFonts w:ascii="Times New Roman" w:hAnsi="Times New Roman" w:cs="Times New Roman"/>
        <w:sz w:val="24"/>
        <w:szCs w:val="24"/>
      </w:rPr>
    </w:pPr>
    <w:r w:rsidRPr="00D40407">
      <w:rPr>
        <w:rFonts w:ascii="Times New Roman" w:hAnsi="Times New Roman" w:cs="Times New Roman"/>
        <w:sz w:val="24"/>
        <w:szCs w:val="24"/>
      </w:rPr>
      <w:t xml:space="preserve">ETHICS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39180657"/>
        <w:docPartObj>
          <w:docPartGallery w:val="Page Numbers (Top of Page)"/>
          <w:docPartUnique/>
        </w:docPartObj>
      </w:sdtPr>
      <w:sdtEndPr>
        <w:rPr>
          <w:noProof/>
        </w:rPr>
      </w:sdtEndPr>
      <w:sdtContent>
        <w:r w:rsidRPr="00D40407">
          <w:rPr>
            <w:rFonts w:ascii="Times New Roman" w:hAnsi="Times New Roman" w:cs="Times New Roman"/>
            <w:sz w:val="24"/>
            <w:szCs w:val="24"/>
          </w:rPr>
          <w:fldChar w:fldCharType="begin"/>
        </w:r>
        <w:r w:rsidRPr="00D40407">
          <w:rPr>
            <w:rFonts w:ascii="Times New Roman" w:hAnsi="Times New Roman" w:cs="Times New Roman"/>
            <w:sz w:val="24"/>
            <w:szCs w:val="24"/>
          </w:rPr>
          <w:instrText xml:space="preserve"> PAGE   \* MERGEFORMAT </w:instrText>
        </w:r>
        <w:r w:rsidRPr="00D40407">
          <w:rPr>
            <w:rFonts w:ascii="Times New Roman" w:hAnsi="Times New Roman" w:cs="Times New Roman"/>
            <w:sz w:val="24"/>
            <w:szCs w:val="24"/>
          </w:rPr>
          <w:fldChar w:fldCharType="separate"/>
        </w:r>
        <w:r w:rsidR="00A1123B">
          <w:rPr>
            <w:rFonts w:ascii="Times New Roman" w:hAnsi="Times New Roman" w:cs="Times New Roman"/>
            <w:noProof/>
            <w:sz w:val="24"/>
            <w:szCs w:val="24"/>
          </w:rPr>
          <w:t>2</w:t>
        </w:r>
        <w:r w:rsidRPr="00D40407">
          <w:rPr>
            <w:rFonts w:ascii="Times New Roman" w:hAnsi="Times New Roman" w:cs="Times New Roman"/>
            <w:noProof/>
            <w:sz w:val="24"/>
            <w:szCs w:val="24"/>
          </w:rPr>
          <w:fldChar w:fldCharType="end"/>
        </w:r>
      </w:sdtContent>
    </w:sdt>
  </w:p>
  <w:p w:rsidR="00D40407" w:rsidRDefault="00D404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407" w:rsidRPr="00D40407" w:rsidRDefault="00D40407" w:rsidP="00D40407">
    <w:pPr>
      <w:pStyle w:val="Header"/>
      <w:spacing w:line="480" w:lineRule="auto"/>
      <w:rPr>
        <w:rFonts w:ascii="Times New Roman" w:hAnsi="Times New Roman" w:cs="Times New Roman"/>
        <w:sz w:val="24"/>
        <w:szCs w:val="24"/>
      </w:rPr>
    </w:pPr>
    <w:r w:rsidRPr="00D40407">
      <w:rPr>
        <w:rFonts w:ascii="Times New Roman" w:hAnsi="Times New Roman" w:cs="Times New Roman"/>
        <w:sz w:val="24"/>
        <w:szCs w:val="24"/>
      </w:rPr>
      <w:t xml:space="preserve">Running head:  ETHICS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96415166"/>
        <w:docPartObj>
          <w:docPartGallery w:val="Page Numbers (Top of Page)"/>
          <w:docPartUnique/>
        </w:docPartObj>
      </w:sdtPr>
      <w:sdtEndPr>
        <w:rPr>
          <w:noProof/>
        </w:rPr>
      </w:sdtEndPr>
      <w:sdtContent>
        <w:r w:rsidRPr="00D40407">
          <w:rPr>
            <w:rFonts w:ascii="Times New Roman" w:hAnsi="Times New Roman" w:cs="Times New Roman"/>
            <w:sz w:val="24"/>
            <w:szCs w:val="24"/>
          </w:rPr>
          <w:fldChar w:fldCharType="begin"/>
        </w:r>
        <w:r w:rsidRPr="00D40407">
          <w:rPr>
            <w:rFonts w:ascii="Times New Roman" w:hAnsi="Times New Roman" w:cs="Times New Roman"/>
            <w:sz w:val="24"/>
            <w:szCs w:val="24"/>
          </w:rPr>
          <w:instrText xml:space="preserve"> PAGE   \* MERGEFORMAT </w:instrText>
        </w:r>
        <w:r w:rsidRPr="00D40407">
          <w:rPr>
            <w:rFonts w:ascii="Times New Roman" w:hAnsi="Times New Roman" w:cs="Times New Roman"/>
            <w:sz w:val="24"/>
            <w:szCs w:val="24"/>
          </w:rPr>
          <w:fldChar w:fldCharType="separate"/>
        </w:r>
        <w:r w:rsidR="00A1123B">
          <w:rPr>
            <w:rFonts w:ascii="Times New Roman" w:hAnsi="Times New Roman" w:cs="Times New Roman"/>
            <w:noProof/>
            <w:sz w:val="24"/>
            <w:szCs w:val="24"/>
          </w:rPr>
          <w:t>1</w:t>
        </w:r>
        <w:r w:rsidRPr="00D40407">
          <w:rPr>
            <w:rFonts w:ascii="Times New Roman" w:hAnsi="Times New Roman" w:cs="Times New Roman"/>
            <w:noProof/>
            <w:sz w:val="24"/>
            <w:szCs w:val="24"/>
          </w:rPr>
          <w:fldChar w:fldCharType="end"/>
        </w:r>
      </w:sdtContent>
    </w:sdt>
  </w:p>
  <w:p w:rsidR="00D40407" w:rsidRDefault="00D40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407"/>
    <w:rsid w:val="00053B87"/>
    <w:rsid w:val="000F754D"/>
    <w:rsid w:val="001D2666"/>
    <w:rsid w:val="007E02C9"/>
    <w:rsid w:val="008A58EF"/>
    <w:rsid w:val="008D4504"/>
    <w:rsid w:val="00947F62"/>
    <w:rsid w:val="00A1123B"/>
    <w:rsid w:val="00A131AC"/>
    <w:rsid w:val="00BD4F4E"/>
    <w:rsid w:val="00CE6EAD"/>
    <w:rsid w:val="00D40407"/>
    <w:rsid w:val="00D87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407"/>
  </w:style>
  <w:style w:type="paragraph" w:styleId="Footer">
    <w:name w:val="footer"/>
    <w:basedOn w:val="Normal"/>
    <w:link w:val="FooterChar"/>
    <w:uiPriority w:val="99"/>
    <w:unhideWhenUsed/>
    <w:rsid w:val="00D40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407"/>
  </w:style>
  <w:style w:type="character" w:styleId="Hyperlink">
    <w:name w:val="Hyperlink"/>
    <w:basedOn w:val="DefaultParagraphFont"/>
    <w:uiPriority w:val="99"/>
    <w:unhideWhenUsed/>
    <w:rsid w:val="00A1123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407"/>
  </w:style>
  <w:style w:type="paragraph" w:styleId="Footer">
    <w:name w:val="footer"/>
    <w:basedOn w:val="Normal"/>
    <w:link w:val="FooterChar"/>
    <w:uiPriority w:val="99"/>
    <w:unhideWhenUsed/>
    <w:rsid w:val="00D40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407"/>
  </w:style>
  <w:style w:type="character" w:styleId="Hyperlink">
    <w:name w:val="Hyperlink"/>
    <w:basedOn w:val="DefaultParagraphFont"/>
    <w:uiPriority w:val="99"/>
    <w:unhideWhenUsed/>
    <w:rsid w:val="00A112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freedomofexpression.columbia.edu/cases/carpenter-v-united-stat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pic.org/amicus/location/carpenter/"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ired.com/story/carpenter-v-united-states-supreme-court-digital-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2019-08-17T18:54:00Z</dcterms:created>
  <dcterms:modified xsi:type="dcterms:W3CDTF">2019-08-17T21:38:00Z</dcterms:modified>
</cp:coreProperties>
</file>